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86 vom 12. Juni 2015</w:t>
      </w:r>
    </w:p>
    <w:p>
      <w:r>
        <w:t>VS Kantonsgericht, 2015-06-12, FR</w:t>
      </w:r>
    </w:p>
    <w:p>
      <w:r>
        <w:rPr>
          <w:b/>
        </w:rPr>
        <w:t xml:space="preserve">Quelle: </w:t>
      </w:r>
      <w:r>
        <w:t>https://mcp.opencaselaw.ch/entscheid/vs_gerichte_S1 14 86</w:t>
      </w:r>
    </w:p>
    <w:p>
      <w:r>
        <w:t>FR: VS_GERICHTE S1 14 86 du 12 juin 2015</w:t>
      </w:r>
    </w:p>
    <w:p>
      <w:r>
        <w:t>IT: VS_GERICHTE S1 14 86 del 12 giugno 2015</w:t>
      </w:r>
    </w:p>
    <w:p>
      <w:pPr>
        <w:pStyle w:val="Heading2"/>
      </w:pPr>
      <w:r>
        <w:t>Regeste</w:t>
      </w:r>
    </w:p>
    <w:p>
      <w:r>
        <w:t>S1 14 86 / S1 14 202 JUGEMENT DU 12 JUIN 2015 Tribunal cantonal du Valais Cour des assurances sociales Composition : Eve-Marie Dayer-Schmid, présidente ; Thomas Brunner et Christophe Joris, juges ; Candido Prada, greffier en la cause X_________, recourant, représenté par Maître M_________ contre Office cantonal AI du Valais, intimé (art. 17, 18 et 28 LAI ; taux d’invalidité, valeur probante des rapports médicaux et conditions objectives et subjectives permettant l’octroi de mesures de réadaptation professionnelle [reclassement et aide au placement])</w:t>
      </w:r>
    </w:p>
    <w:p>
      <w:pPr>
        <w:pStyle w:val="Heading2"/>
      </w:pPr>
      <w:r>
        <w:t>Erwägungen</w:t>
      </w:r>
    </w:p>
    <w:p>
      <w:r>
        <w:rPr>
          <w:b/>
        </w:rPr>
        <w:t>E. 1</w:t>
      </w:r>
    </w:p>
    <w:p>
      <w:r>
        <w:t>Selon l'article 1 alinéa 1 de la loi fédérale du 19 juin 1959 sur l'assurance-invalidité (LAI), les dispositions de la loi fédérale du 6 octobre 2000 sur la partie générale du droit des assurances sociales (LPGA) s'appliquent à l'assurance-invalidité, à moins que la LAI n'y déroge expressément. Remis à la poste les 28 avril 2014 et 17 septembre suivant, les deux recours dirigés respectivement contre les décisions datées du 10 mars 2014 (refus de reclassement professionnel et refus d’une aide au placement [S1 14 86]) et du 14 août 2014 (octroi d’une rente limitée dans le temps [S1 14 202]) ont été interjetés, compte tenu des féries judiciaires, dans le délai légal de 30 jours (art. 60 LPGA) devant l'instance compétente (art. 56, 57 et 58 LPGA ; art. 81bis al. 1 LPJA). Ils répondent par ailleurs aux autres conditions formelles de recevabilité (art. 61 let. b LPGA), de sorte que la Cour doit entrer en matière.</w:t>
      </w:r>
    </w:p>
    <w:p>
      <w:r>
        <w:rPr>
          <w:b/>
        </w:rPr>
        <w:t>E. 2</w:t>
      </w:r>
    </w:p>
    <w:p>
      <w:r>
        <w:t>En vertu de l’article 61 in initio LPGA en lien avec l’article 80 alinéa 1 lettre d de la loi cantonale du 6 octobre 1976 sur la procédure et la juridiction administratives (LPJA), lequel renvoie aux articles 56 alinéa 1 et 11b alinéa 1 LPJA, l’autorité peut, d’office ou sur requête, joindre en une même procédure des affaires qui se rapportent à une situation identique ou à une cause juridique commune (ATF 131 V 59 consid. 1, 128 V 126 consid. 1). Cette jonction s’impose également afin de simplifier les procédures (arrêt 2C_71/2009 et 2C_73/2009 du 10 juin 2009 considérant 1 et la référence). En l'occurrence, les causes (S1 14 86) et (S1 14 202) opposent les mêmes parties et se rapportent à un même complexe de faits, si bien qu’il y a lieu d’ordonner leur jonction, conformément à la requête formulée par le recourant dans son second recours du 17 septembre 2014.</w:t>
      </w:r>
    </w:p>
    <w:p>
      <w:r>
        <w:rPr>
          <w:b/>
        </w:rPr>
        <w:t>E. 3</w:t>
      </w:r>
    </w:p>
    <w:p>
      <w:r>
        <w:t>En l'espèce, le litige porte sur le droit du recourant à obtenir une rente d’invalidité non limitée dans le temps en raison d’un état de santé défaillant réduisant fortement sa capacité de travail et qui n’aurait pas été relevé au cours de l’instruction médicale</w:t>
      </w:r>
    </w:p>
    <w:p>
      <w:r>
        <w:t>- 12 - qualifiée de lacunaire. Il a également trait au droit du recourant de prétendre légitimement ou pas à un reclassement professionnel ainsi qu’à une aide au placement.</w:t>
      </w:r>
    </w:p>
    <w:p>
      <w:r>
        <w:rPr>
          <w:b/>
        </w:rPr>
        <w:t>E. 4</w:t>
      </w:r>
    </w:p>
    <w:p>
      <w:r>
        <w:t>La décision du 14 août 2014 expose correctement les dispositions légales relatives à la notion d'invalidité, de sorte qu’il peut y être renvoyé. 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(OAI), les expertises de médecins indépendants de l’assurance, les examens pratiqués par les centres d’observation médicale de l’assurance-invalidité (ATF 123 V 175), les expertises produites par une partie ainsi que les expertises médicales ordonnées par le juge (VSI 1997 318 consid. 3b ; Stéphane Blanc, La procédure administrative en assurance invalidité, thèse Fribourg 1999, p. 142). 5.2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w:t>
      </w:r>
    </w:p>
    <w:p>
      <w:r>
        <w:t>- 13 - bien son contenu (ATF 125 V 351 consid. 3a, 122 V 157 consid. 1c et les références ; arrêt 9C_773/2007 du 23 juin 2008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(ATF 125 V 351 consid. 3a).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6.1 En l’espèce, il ressort du dossier que le recourant a fait l’objet de nombreuses investigations médicales. Le Dr E_________, tout d’abord, constatant une discordance entre les plaintes de son patient et la trophicité de son épaule droite, l’a adressé à la CRR (rapport du 23 mai 2011). Puis le Dr F_________, faisant également état dans</w:t>
      </w:r>
    </w:p>
    <w:p>
      <w:r>
        <w:t>- 14 - son rapport des discordances susmentionnées et d’un processus d’invalidation entamé constatés par d’autres spécialistes ou médecins lors du séjour à la CRR, a dirigé l’intéressé vers le Dr H_________ (rapport du 18 août 2011). Ce dernier, sans se prononcer sur la capacité de travail, a suggéré une troisième intervention sur l’épaule droite en cas d’échec des infiltrations (rapport du 22 août 2011). Concernant les douleurs au niveau des cervicales, l’intéressé a été examiné par les Drs K_________ (rapport du 24 septembre 2012), L_________ (rapport du 8 novembre 2012), N_________ (rapport du 14 janvier 2013) et O_________ (rapports des 22 avril et 30 décembre 2013), qui ont tous confirmé (ou du moins pas exclu) qu’il était apte à exercer une activité adaptée (sans tâche avec le bras droit au-dessus de l’horizontal ou de port de charge supérieur à 5 kg). C’est sur la base de l’ensemble des rapports des médecins susnommés, clairs et convaincants, que le Dr P_________ du SMR a retenu que le recourant était apte à fournir une pleine capacité de travail dans une activité adaptée. A cet égard, on rappellera qu’un examen personnel de l'intéressé par le SMR n’était pas indispensable dans la mesure où son dossier contient suffisamment d’appréciations médicales fondées elles sur un examen personnel de l’assuré (RAMA 2001 no U 438 p. 346). En outre, comme le Tribunal fédéral l’a déclaré à maintes reprises, la notion d’invalidité est, en principe, identique en matière d’assurance-accidents, d’assurance militaire et d’assurance-invalidité. Dans ces trois domaines, elle représente la diminution permanente ou de longue durée - résultant d’une atteinte à la santé assurée - des possibilités de gain sur le marché du travail équilibré qui entrent en ligne de compte pour l’assuré (ATF 126 V 288 consid. 2). Depuis le 1er janvier 2003, la définition de l’invalidité est uniformément codifiée à l’article 8 LPGA. En raison de l’uniformité de la notion d’invalidité, il convient d’éviter que pour une même atteinte à la santé, l’assurance-accidents, l’assurance militaire et l’assurance-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(ATF 133 V 549 consid. 6, 131 V 362 consid. 2.2). D’un autre côté, l’évaluation de l’invalidité par l’un de ces assureurs ne peut être effectuée en faisant</w:t>
      </w:r>
    </w:p>
    <w:p>
      <w:r>
        <w:t>- 15 - totalement abstraction de la décision rendue par l’autre. À tout le moins, une évaluation entérinée par une décision entrée en force ne peut pas rester simplement ignorée. Ainsi, la critique du recourant selon laquelle le SMR aurait simplement calqué son avis médical sur celui des médecins d’arrondissement de la CNA et de ceux de la CRR ne résiste pas à l’examen puisque le Dr P_________ a notamment tenu compte dans son rapport du 24 janvier 2014 des cervicalgies d’origine non traumatique (et donc pas couvertes par la CNA). Le fait qu’il ne les ait pas désignées, tout comme le Dr O_________, d’invalidantes, ne signifie nullement que l’instruction médicale du dossier puisse, du point de vue de l’assurance-invalidité, être qualifiée de lacunaire. La Cour de céans retient donc que le rapport du SMR, basé sur de nombreuses appréciations médicales, est clair, non contradictoire et complet, et que le recourant n’a soulevé aucun élément médical objectif permettant d’en douter, de sorte qu’il faut reconnaître au rapport du SMR une pleine valeur probante. 6.2 Concernant l’autre grief du recourant selon lequel les Drs B_________ et D_________ n’admettent que leur patient ne serait apte à travailler que si des mesures de reclassement professionnel dans une activité adaptée sont entreprises, il doit être rejeté. En effet, on rappellera qu’un reclassement professionnel ne peut être prescrit et octroyé par la simple volonté d’un médecin, mais sur la base de critères légaux et jurisprudentiels. La tâche du médecin dans l'évaluation de l'invalidité consiste uniquement à porter un jugement sur l'état de santé et à indiquer dans quelle mesure et pour quelles activités la personne assurée est incapable de travailler et à déterminer quels travaux on peut encore raisonnablement exiger d'elle (ATF 125 V 256 consid. 4, ATF 115 V 133 consid. 2, ATF 114 V 310 consid. 3c, ATF 105 V 156 consid. 1). En revanche, c'est l'administration qui doit en principe examiner quelles possibilités de réadaptation concrètes existent pour l'assuré, compte tenu de l'ensemble des circonstances, en particulier des caractéristiques physiques et psychiques de l’assuré ainsi que de sa situation professionnelle et sociale, considérées de manière objective (ATF 113 V 22 consid. 4a et ATF 109 V 25). 6.3 Eu égard à ce qui précède, il n’est pas nécessaire de mettre en œuvre une expertise pluridisciplinaire telle que requise par le recourant. On rappellera en effet qu'il est de jurisprudence constante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(appréciation</w:t>
      </w:r>
    </w:p>
    <w:p>
      <w:r>
        <w:t>- 16 - anticipée des preuves; Alfred Kölz / Isabelle Häner / Martin Bertschi, Verwaltungsverfahren und Verwaltungsrechtspflege des Bundes, 3e éd., Zurich 2013, p. 52 n° 153 ; Gustavo Scartazzini, Les rapports de causalité dans le droit suisse de la sécurité sociale, thèse Genève 1991, p. 63; cf. aussi ATF 122 III 219 consid. 3b et c, ATF 120 Ib 229 consid. 2b ; ATF 119 II 117 consid. 4c ; ATF 119 V 344 consid. 3c avec les références). Une telle manière de procéder ne viole pas le droit d'être entendu (art. 9 Cst : ATF 122 V 162 consid. 1d ; RAMA 1985 p. 238 consid. 2d ; arrêt 8C_964/2012 du 16 septembre 2013). 6.4 Considérant que le recourant est du point de vue médico-théorique pleinement apte à exercer une activité adaptée à son état de santé à partir du 14 janvier 2013 (rapport 24 janvier 2014 du Dr P_________) et qu’il n’a pas contesté le calcul de son degré d’invalidité déterminé par comparaison des revenus avec et sans invalidité, il y a lieu de confirmer le taux d’invalidité de 23% retenu par l’intimé soit un pourcentage n’ouvrant pas le droit à une rente d’invalidité.</w:t>
      </w:r>
    </w:p>
    <w:p>
      <w:r>
        <w:rPr>
          <w:b/>
        </w:rPr>
        <w:t>E. 7</w:t>
      </w:r>
    </w:p>
    <w:p>
      <w:r>
        <w:t>Reste à examiner si le recourant peut prétendre à des mesures de réadaptation d’ordre professionnel.</w:t>
      </w:r>
    </w:p>
    <w:p>
      <w:r>
        <w:rPr>
          <w:b/>
        </w:rPr>
        <w:t>E. 7.1</w:t>
      </w:r>
    </w:p>
    <w:p>
      <w:r>
        <w:t>Selon l’article 17 LAI, l'assuré a droit au reclassement dans une nouvelle profession si son invalidité rend nécessaire cette mesure et si sa capacité de gain peut ainsi, selon toute vraisemblance, être maintenue ou améliorée de manière notable (art. 17 al. 1 LAI). Pour prétendre à un reclassement, l’assuré doit remplir cumulativement les conditions suivantes (OFAS, Circulaire concernant les mesures de réadaptation d'ordre professionnel, CMRP, dans son état au 1er janvier 2015, chiffre 4010) : - la personne assurée doit présenter une invalidité imminente ou déjà survenue qui l’empêche d'exercer sa profession antérieure ou de poursuivre l'activité lucrative qu'elle exerçait ou le travail qu'elle effectuait dans son domaine d'activités ; - la personne assurée doit être susceptible de réadaptation, c'est-à-dire qu’elle doit être objectivement et subjectivement en état de suivre avec succès des mesures de formation professionnelle ; et - la formation doit être adaptée au handicap et correspondre aux capacités de l’assuré. Elle doit être simple, adéquate et procurer une capacité de gain approximativement équivalente à celle de l'activité antérieure (Les frais d'une</w:t>
      </w:r>
    </w:p>
    <w:p>
      <w:r>
        <w:t>- 17 - formation qui n'offre aucune perspective d'une future mise en valeur économique du travail ne sont pas pris en charge). Ainsi, il y a droit au reclassement lorsque l'atteinte à la santé a des proportions telles que la reprise de l'activité lucrative antérieure n'est pas raisonnablement exigible ou qu'elle aurait pour conséquence une diminution durable de la capacité de gain (art. 6 al. 1 RAI). Selon la jurisprudence du Tribunal fédéral, une perte de gain d’au moins 20% environ ouvre en principe le droit à une mesure de reclassement dans une nouvelle profession (ATF 130 V 488 consid. 4.2 et les références, ATF 124 V 108 consid. 2b et les arrêts cités). En outre, la reconnaissance d’une telle mesure présuppose qu'elle soit appropriée au but de réadaptation poursuivi par l'OAI,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(VSI 2002 111 et les références). Partant, si l'aptitude subjective de réadaptation de l'assuré fait défaut, en particulier parce qu'il n'a pas la volonté nécessaire de se réadapter, l'OAI peut refuser de mettre en œuvre une telle mesure. Pour déterminer si une mesure est de nature à rétablir,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(arrêts I 388/06 du 25 avril 2007 consid.</w:t>
      </w:r>
    </w:p>
    <w:p>
      <w:r>
        <w:rPr>
          <w:b/>
        </w:rPr>
        <w:t>E. 7.2</w:t>
      </w:r>
    </w:p>
    <w:p>
      <w:r>
        <w:t>En l'espèce, force est de constater que si le recourant remplit à l'évidence les conditions objectives tendant à l'octroi d’une mesure de reclassement (nécessité d'un changement de profession, taux d'invalidité supérieur à 20%), en revanche il ne présente pas l'aptitude subjective nécessaire. En effet, le recourant a, lors de son stage aux ateliers professionnels de la CRR (de fin juin 2011 à mi-juillet 2011) fait preuve d’un comportement désintéressé, les conseillers en réadaptation précisant qu'il manquait de motivation (comportement fluctuant, absence d’initiative et d’investissement dans les activités proposées, absence de</w:t>
      </w:r>
    </w:p>
    <w:p>
      <w:r>
        <w:t>- 18 - projection dans le champ professionnel) pour prétendre décrocher une place de travail. En outre, le conseiller en réadaptation OAI a noté dans son rapport du 23 octobre 2013, que le recourant n’adhérait pas à la mise en place de mesures professionnelles (ce que ce dernier contestera bien plus tard dans son recours), qu’il avait déclaré ne pas vouloir mettre en œuvre sa capacité de travail tant que son litige avec la CNA n’était pas réglé et indiqué qu’en raison de ses douleurs il ne pourrait pas travailler normalement même dans une activité adaptée (procès-verbal d’entretien du 1er mars 2013 à l’Office AI en présence des gestionnaires CNA et OAI). En outre, compte tenu de sa formation relativement floue et non vérifiable en l’absence de justification des diplômes ou certificats obtenus (baccalauréat ou maturité fédérale, attestation relative aux deux années d’étude pédagogique et à la formation théorique suivie dans le domaine de la construction puis de la peinture en bâtiment), de ses lacunes linguistiques au niveau du français écrit et de l’absence de connaissance informatique, la Cour de céans peut conformément à la vraisemblance prépondérante, se rallier à l’avis de l’intimé selon lequel le recourant n’est pas en état de suivre avec succès une formation de type CFC ou AFP. Au surplus, on relèvera, comme indiqué par l’intimé, que la majeure partie des postes de travail pouvant entrer en ligne de compte (employé contrôle qualité, coursier, opérateur sur une machine outils, ouvrier dans l’industrie légère, employé à l’assemblage de pièces dans le secteur de l’horlogerie…) ne nécessite pas de formation particulière (rapport final de réadaptation du 23 octobre 2013). Au vu de l'ensemble des éléments précités, c'est en vain que le recourant demande à être mis au bénéfice d'une mesure de reclassement dans une nouvelle profession. Son recours doit également être rejeté sur ce point. 8.1 Aux termes de l'article 18 alinéa 1 LAI (nouvelle teneur selon la novelle du 6 octobre 2006 [5ème révision de l'AI], en vigueur depuis le 1er janvier 2008), l'assuré présentant une incapacité de travail et susceptible d'être réadapté a droit à un soutien actif dans la recherche d'un emploi approprié et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Cette mesure n'a pas été fondamentalement modifiée par l'entrée en vigueur des dispositions relatives à la 4e révision de la LAI (ATF 116 V 80 consid. 6;</w:t>
      </w:r>
    </w:p>
    <w:p>
      <w:r>
        <w:t>- 19 - arrêt I 421/01 du 15 juillet 2002 consid. 2c, I 170/06 du 26 février 2007 et 9C_879/2008 du 21 janvier 2009 et les références). A notamment droit au service de placement au sens de l'article 18 alinéa1 LAI dans sa teneur jusqu'au 31 décembre 2003, l'assuré qui, pour des raisons liées à son invalidité, doit faire valoir des exigences spéciales concernant le poste de travail ou vis-à-vis de l'employeur (par exemple tolérance de pauses de repos nécessitées par l'invalidité) et qui, de ce fait, doit faire appel aux connaissances professionnelles et à l'aide spécialisée de l'autorité chargée du placement pour trouver un emploi (arrêt I 510/04 du 19 août 2005 consid. 3.1). Il n'y a en revanche pas d'invalidité au sens de l'article 18 alinéa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I 595/02 du 13 février 2003 consid. 1.2). Par ailleurs, les problèmes étrangers à l'invalidité, tels que le fait de ne pas savoir parler une des langues nationales, ne sont pas pris en considération lors de l'examen du droit à l'aide au placement (arrêt I 421/01 du 15 juillet 2002 consid. 2c ; CMRP chiffre 5005). Les arrêts précités ont certes été rendus sous l'empire de l'ancien droit, dans lequel l'article 18 LAI avait une teneur différente, mais ils demeurent valables après l'entrée en vigueur de la 5ème révision de l'AI (arrêt 9C_416/2009 du 1er mars 2010 consid. 5.2). 8.2 La Cour de céans constate que les éventuelles difficultés du recourant pour trouver un emploi résultent de manière prépondérante de son aptitude au placement - refus catégorique d’y recourir (rapport final de réadaptation du 23 octobre 2013), de ses difficultés linguistiques au niveau de l’écrit, de son manque de formation et de sa motivation défaillante - que de ses limitations au niveau de l’épaule droite. Dans ces circonstances, l’Office AI n’a pas à répondre de ces difficultés et c’est à juste titre qu’il a refusé de lui octroyer une aide au placement (arrêt 9C_783/2012 du 11 avril 2013 consid. 3.4 ; CMRP chiffre 5005).</w:t>
      </w:r>
    </w:p>
    <w:p>
      <w:r>
        <w:rPr>
          <w:b/>
        </w:rPr>
        <w:t>E. 9</w:t>
      </w:r>
    </w:p>
    <w:p>
      <w:r>
        <w:t>Mal fondés, les recours sont rejetés et les décisions des 10 mars 2014 et 14 août 2014 confirmées.</w:t>
      </w:r>
    </w:p>
    <w:p>
      <w:r>
        <w:t>- 20 - Les frais de justice, fixés principalement au regard du principe de la couverture des frais et de l’équivalence des prestations à 800 francs, sont mis à la charge du recourant et compensés avec les deux avances déposées (art. 69 al. 1bis LAI). Il n’est pas alloué de dépens (art. 61 let. g LPGA a contrario).</w:t>
      </w:r>
    </w:p>
    <w:p>
      <w:r>
        <w:t>Prononce</w:t>
      </w:r>
    </w:p>
    <w:p>
      <w:r>
        <w:t>1. Les causes (S1 14 86) et (S1 14 202) sont jointes. 2. Les recours sont rejetés. 3. Les frais par 800 francs sont mis à la charge de X_________. 4. Il n’est pas alloué de dépens.</w:t>
      </w:r>
    </w:p>
    <w:p>
      <w:r>
        <w:t>Sion, le 12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